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43B" w:rsidRDefault="00ED786E" w:rsidP="004C329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Action Publique 2022 - Proposition n°</w:t>
      </w:r>
      <w:r w:rsidR="00B1243B">
        <w:rPr>
          <w:rFonts w:ascii="Times New Roman" w:hAnsi="Times New Roman" w:cs="Times New Roman"/>
          <w:sz w:val="28"/>
        </w:rPr>
        <w:t>3</w:t>
      </w:r>
    </w:p>
    <w:p w:rsidR="004C3294" w:rsidRDefault="004C3294" w:rsidP="004C329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Times New Roman" w:hAnsi="Times New Roman" w:cs="Times New Roman"/>
          <w:sz w:val="36"/>
        </w:rPr>
      </w:pPr>
      <w:r w:rsidRPr="004C3294">
        <w:rPr>
          <w:rFonts w:ascii="Times New Roman" w:hAnsi="Times New Roman" w:cs="Times New Roman"/>
          <w:sz w:val="36"/>
        </w:rPr>
        <w:t xml:space="preserve">Construire de nouveaux partenariats </w:t>
      </w:r>
      <w:r w:rsidR="00E124DC">
        <w:rPr>
          <w:rFonts w:ascii="Times New Roman" w:hAnsi="Times New Roman" w:cs="Times New Roman"/>
          <w:sz w:val="36"/>
        </w:rPr>
        <w:t>avec les collectivités</w:t>
      </w:r>
      <w:r w:rsidRPr="004C3294">
        <w:rPr>
          <w:rFonts w:ascii="Times New Roman" w:hAnsi="Times New Roman" w:cs="Times New Roman"/>
          <w:sz w:val="36"/>
        </w:rPr>
        <w:t xml:space="preserve"> </w:t>
      </w:r>
    </w:p>
    <w:p w:rsidR="00ED786E" w:rsidRDefault="00ED786E" w:rsidP="00ED786E">
      <w:pPr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Version du </w:t>
      </w:r>
      <w:r w:rsidR="00AB549F">
        <w:rPr>
          <w:rFonts w:ascii="Times New Roman" w:hAnsi="Times New Roman" w:cs="Times New Roman"/>
          <w:i/>
          <w:sz w:val="24"/>
        </w:rPr>
        <w:t>2</w:t>
      </w:r>
      <w:r w:rsidR="00213AF2">
        <w:rPr>
          <w:rFonts w:ascii="Times New Roman" w:hAnsi="Times New Roman" w:cs="Times New Roman"/>
          <w:i/>
          <w:sz w:val="24"/>
        </w:rPr>
        <w:t>9</w:t>
      </w:r>
      <w:r>
        <w:rPr>
          <w:rFonts w:ascii="Times New Roman" w:hAnsi="Times New Roman" w:cs="Times New Roman"/>
          <w:i/>
          <w:sz w:val="24"/>
        </w:rPr>
        <w:t>/</w:t>
      </w:r>
      <w:r w:rsidR="00AB549F">
        <w:rPr>
          <w:rFonts w:ascii="Times New Roman" w:hAnsi="Times New Roman" w:cs="Times New Roman"/>
          <w:i/>
          <w:sz w:val="24"/>
        </w:rPr>
        <w:t>01/18</w:t>
      </w:r>
    </w:p>
    <w:p w:rsidR="00ED786E" w:rsidRDefault="00ED786E" w:rsidP="00ED786E">
      <w:pPr>
        <w:jc w:val="both"/>
        <w:rPr>
          <w:rFonts w:ascii="Times New Roman" w:hAnsi="Times New Roman" w:cs="Times New Roman"/>
          <w:sz w:val="24"/>
        </w:rPr>
      </w:pPr>
    </w:p>
    <w:p w:rsidR="00B17651" w:rsidRPr="00B663F2" w:rsidRDefault="00B17651" w:rsidP="00B17651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Sources mobilisées pour le chantier</w:t>
      </w:r>
    </w:p>
    <w:p w:rsidR="00B17651" w:rsidRDefault="00B17651" w:rsidP="00B17651">
      <w:pPr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Rapports disponibles</w:t>
      </w:r>
      <w:bookmarkStart w:id="0" w:name="_GoBack"/>
      <w:bookmarkEnd w:id="0"/>
    </w:p>
    <w:p w:rsidR="001743B2" w:rsidRDefault="00A06966" w:rsidP="001743B2">
      <w:pPr>
        <w:pStyle w:val="Paragraphedeliste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Les droits culturels, </w:t>
      </w:r>
      <w:r w:rsidRPr="00A06966">
        <w:rPr>
          <w:rFonts w:ascii="Times New Roman" w:hAnsi="Times New Roman" w:cs="Times New Roman"/>
          <w:sz w:val="24"/>
        </w:rPr>
        <w:t>déclaration de Fribourg, 2007</w:t>
      </w:r>
    </w:p>
    <w:p w:rsidR="00F13CDE" w:rsidRDefault="0047411C" w:rsidP="00F13CDE">
      <w:pPr>
        <w:pStyle w:val="Paragraphedeliste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Plusieurs</w:t>
      </w:r>
      <w:r w:rsidR="001743B2">
        <w:rPr>
          <w:rFonts w:ascii="Times New Roman" w:hAnsi="Times New Roman" w:cs="Times New Roman"/>
          <w:sz w:val="24"/>
        </w:rPr>
        <w:t xml:space="preserve"> organismes ressources</w:t>
      </w:r>
      <w:r>
        <w:rPr>
          <w:rFonts w:ascii="Times New Roman" w:hAnsi="Times New Roman" w:cs="Times New Roman"/>
          <w:sz w:val="24"/>
        </w:rPr>
        <w:t xml:space="preserve"> sur ce sujet</w:t>
      </w:r>
      <w:r w:rsidR="001743B2">
        <w:rPr>
          <w:rFonts w:ascii="Times New Roman" w:hAnsi="Times New Roman" w:cs="Times New Roman"/>
          <w:sz w:val="24"/>
        </w:rPr>
        <w:t xml:space="preserve"> : Réseau Culture 21, </w:t>
      </w:r>
      <w:r w:rsidR="00907CF4">
        <w:rPr>
          <w:rFonts w:ascii="Times New Roman" w:hAnsi="Times New Roman" w:cs="Times New Roman"/>
          <w:sz w:val="24"/>
        </w:rPr>
        <w:t>La Nacre (agence culturelle en AURA), la FNARS</w:t>
      </w:r>
      <w:r>
        <w:rPr>
          <w:rFonts w:ascii="Times New Roman" w:hAnsi="Times New Roman" w:cs="Times New Roman"/>
          <w:sz w:val="24"/>
        </w:rPr>
        <w:t xml:space="preserve">, ainsi que la parution entre autre </w:t>
      </w:r>
      <w:r w:rsidR="00907CF4" w:rsidRPr="0047411C">
        <w:rPr>
          <w:rFonts w:ascii="Times New Roman" w:hAnsi="Times New Roman" w:cs="Times New Roman"/>
          <w:i/>
          <w:sz w:val="24"/>
        </w:rPr>
        <w:t>Droits culturels, controverses et horizons d’actions,</w:t>
      </w:r>
      <w:r w:rsidR="00907CF4" w:rsidRPr="0047411C">
        <w:rPr>
          <w:rFonts w:ascii="Times New Roman" w:hAnsi="Times New Roman" w:cs="Times New Roman"/>
          <w:sz w:val="24"/>
        </w:rPr>
        <w:t xml:space="preserve"> L’Observatoire des politiques culturelles n°49, 2017</w:t>
      </w:r>
    </w:p>
    <w:p w:rsidR="00F13CDE" w:rsidRPr="00F13CDE" w:rsidRDefault="00F13CDE" w:rsidP="00F13CDE">
      <w:pPr>
        <w:pStyle w:val="Paragraphedeliste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F13CDE">
        <w:rPr>
          <w:rFonts w:ascii="Times New Roman" w:hAnsi="Times New Roman" w:cs="Times New Roman"/>
          <w:i/>
          <w:sz w:val="24"/>
        </w:rPr>
        <w:t>Rapport sur les entretiens de Valois</w:t>
      </w:r>
      <w:r>
        <w:rPr>
          <w:rFonts w:ascii="Times New Roman" w:hAnsi="Times New Roman" w:cs="Times New Roman"/>
          <w:sz w:val="24"/>
        </w:rPr>
        <w:t>, Ministère de la Culture, 2009</w:t>
      </w:r>
    </w:p>
    <w:p w:rsidR="00BA0213" w:rsidRPr="00A06966" w:rsidRDefault="00BA0213" w:rsidP="00A06966">
      <w:pPr>
        <w:pStyle w:val="Paragraphedeliste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21 propositions pour relancer le partenariat entre l’Etat et les collectivités territoriales dans le domaine culturel, </w:t>
      </w:r>
      <w:proofErr w:type="gramStart"/>
      <w:r>
        <w:rPr>
          <w:rFonts w:ascii="Times New Roman" w:hAnsi="Times New Roman" w:cs="Times New Roman"/>
          <w:sz w:val="24"/>
        </w:rPr>
        <w:t>J.BOUET</w:t>
      </w:r>
      <w:proofErr w:type="gramEnd"/>
      <w:r>
        <w:rPr>
          <w:rFonts w:ascii="Times New Roman" w:hAnsi="Times New Roman" w:cs="Times New Roman"/>
          <w:sz w:val="24"/>
        </w:rPr>
        <w:t>, rapport de l’IGAC, 2010</w:t>
      </w:r>
    </w:p>
    <w:p w:rsidR="00B17651" w:rsidRDefault="00B17651" w:rsidP="00B17651">
      <w:pPr>
        <w:pStyle w:val="Paragraphedeliste"/>
        <w:numPr>
          <w:ilvl w:val="0"/>
          <w:numId w:val="7"/>
        </w:numPr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Conventions et contractualisation, </w:t>
      </w:r>
      <w:r w:rsidRPr="00B562EE">
        <w:rPr>
          <w:rFonts w:ascii="Times New Roman" w:hAnsi="Times New Roman" w:cs="Times New Roman"/>
          <w:sz w:val="24"/>
        </w:rPr>
        <w:t>Avis de la commission Culture au sujet du PAP 2014 Mission Culture</w:t>
      </w:r>
      <w:r>
        <w:rPr>
          <w:rFonts w:ascii="Times New Roman" w:hAnsi="Times New Roman" w:cs="Times New Roman"/>
          <w:i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Sénat, 2013</w:t>
      </w:r>
    </w:p>
    <w:p w:rsidR="00B17651" w:rsidRPr="00107CD7" w:rsidRDefault="00B17651" w:rsidP="00B17651">
      <w:pPr>
        <w:pStyle w:val="Paragraphedeliste"/>
        <w:numPr>
          <w:ilvl w:val="0"/>
          <w:numId w:val="7"/>
        </w:numPr>
        <w:jc w:val="both"/>
        <w:rPr>
          <w:rFonts w:ascii="Times New Roman" w:hAnsi="Times New Roman" w:cs="Times New Roman"/>
          <w:i/>
          <w:sz w:val="24"/>
        </w:rPr>
      </w:pPr>
      <w:r w:rsidRPr="00107CD7">
        <w:rPr>
          <w:rFonts w:ascii="Times New Roman" w:hAnsi="Times New Roman" w:cs="Times New Roman"/>
          <w:i/>
          <w:sz w:val="24"/>
        </w:rPr>
        <w:t xml:space="preserve">Evaluation de la politique en faveur du spectacle vivant, </w:t>
      </w:r>
      <w:r>
        <w:rPr>
          <w:rFonts w:ascii="Times New Roman" w:hAnsi="Times New Roman" w:cs="Times New Roman"/>
          <w:sz w:val="24"/>
        </w:rPr>
        <w:t xml:space="preserve">diagnostic établi par le SICA, coordination </w:t>
      </w:r>
      <w:proofErr w:type="gramStart"/>
      <w:r>
        <w:rPr>
          <w:rFonts w:ascii="Times New Roman" w:hAnsi="Times New Roman" w:cs="Times New Roman"/>
          <w:sz w:val="24"/>
        </w:rPr>
        <w:t>A.LOISEAU</w:t>
      </w:r>
      <w:proofErr w:type="gramEnd"/>
      <w:r w:rsidRPr="00107CD7">
        <w:rPr>
          <w:rFonts w:ascii="Times New Roman" w:hAnsi="Times New Roman" w:cs="Times New Roman"/>
          <w:sz w:val="24"/>
        </w:rPr>
        <w:t>, 2014</w:t>
      </w:r>
    </w:p>
    <w:p w:rsidR="00B17651" w:rsidRPr="00107CD7" w:rsidRDefault="00B17651" w:rsidP="00B17651">
      <w:pPr>
        <w:pStyle w:val="Paragraphedeliste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107CD7">
        <w:rPr>
          <w:rFonts w:ascii="Times New Roman" w:hAnsi="Times New Roman" w:cs="Times New Roman"/>
          <w:i/>
          <w:sz w:val="24"/>
        </w:rPr>
        <w:t>Note de conjoncture sur les dépenses culturelles des collectivités territoriales 2015-2017</w:t>
      </w:r>
      <w:r w:rsidRPr="00107CD7">
        <w:rPr>
          <w:rFonts w:ascii="Times New Roman" w:hAnsi="Times New Roman" w:cs="Times New Roman"/>
          <w:sz w:val="24"/>
        </w:rPr>
        <w:t xml:space="preserve">, Observatoire des politiques culturelles, DEPS, janvier 2017 </w:t>
      </w:r>
    </w:p>
    <w:p w:rsidR="00B17651" w:rsidRDefault="00B17651" w:rsidP="00B17651">
      <w:pPr>
        <w:pStyle w:val="Paragraphedeliste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107CD7">
        <w:rPr>
          <w:rFonts w:ascii="Times New Roman" w:hAnsi="Times New Roman" w:cs="Times New Roman"/>
          <w:i/>
          <w:sz w:val="24"/>
        </w:rPr>
        <w:t>Dépenses culturelles des collectivités territoriales : 9,3 Ma € en 2014</w:t>
      </w:r>
      <w:r w:rsidRPr="00107CD7">
        <w:rPr>
          <w:rFonts w:ascii="Times New Roman" w:hAnsi="Times New Roman" w:cs="Times New Roman"/>
          <w:sz w:val="24"/>
        </w:rPr>
        <w:t>, DEPS, octobre 2017</w:t>
      </w:r>
    </w:p>
    <w:p w:rsidR="0072043F" w:rsidRPr="00D13EF0" w:rsidRDefault="0072043F" w:rsidP="0072043F">
      <w:pPr>
        <w:pStyle w:val="Paragraphedeliste"/>
        <w:numPr>
          <w:ilvl w:val="0"/>
          <w:numId w:val="7"/>
        </w:numPr>
        <w:spacing w:line="259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Livre blanc pour la diffusion du spectacle vivant, </w:t>
      </w:r>
      <w:r w:rsidRPr="00D13EF0">
        <w:rPr>
          <w:rFonts w:ascii="Times New Roman" w:hAnsi="Times New Roman" w:cs="Times New Roman"/>
          <w:sz w:val="24"/>
        </w:rPr>
        <w:t>EPCC Spectacle vivant en Bretagne, 2017</w:t>
      </w:r>
    </w:p>
    <w:p w:rsidR="0072043F" w:rsidRPr="00107CD7" w:rsidRDefault="0072043F" w:rsidP="0072043F">
      <w:pPr>
        <w:pStyle w:val="Paragraphedeliste"/>
        <w:jc w:val="both"/>
        <w:rPr>
          <w:rFonts w:ascii="Times New Roman" w:hAnsi="Times New Roman" w:cs="Times New Roman"/>
          <w:sz w:val="24"/>
        </w:rPr>
      </w:pPr>
    </w:p>
    <w:p w:rsidR="00B17651" w:rsidRDefault="00B17651" w:rsidP="00B17651">
      <w:pPr>
        <w:pStyle w:val="Paragraphedeliste"/>
        <w:jc w:val="both"/>
        <w:rPr>
          <w:rFonts w:ascii="Times New Roman" w:hAnsi="Times New Roman" w:cs="Times New Roman"/>
          <w:sz w:val="24"/>
        </w:rPr>
      </w:pPr>
    </w:p>
    <w:p w:rsidR="00B17651" w:rsidRPr="00EF780B" w:rsidRDefault="00B17651" w:rsidP="00B17651">
      <w:pPr>
        <w:pStyle w:val="Paragraphedeliste"/>
        <w:jc w:val="both"/>
        <w:rPr>
          <w:rFonts w:ascii="Times New Roman" w:hAnsi="Times New Roman" w:cs="Times New Roman"/>
          <w:sz w:val="24"/>
        </w:rPr>
      </w:pPr>
    </w:p>
    <w:p w:rsidR="00B17651" w:rsidRDefault="00544315" w:rsidP="004228DF">
      <w:pPr>
        <w:pStyle w:val="Paragraphedeliste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Eléments de diagnostics</w:t>
      </w:r>
    </w:p>
    <w:p w:rsidR="004228DF" w:rsidRPr="004228DF" w:rsidRDefault="004228DF" w:rsidP="004228DF">
      <w:pPr>
        <w:pStyle w:val="Paragraphedeliste"/>
        <w:ind w:left="360"/>
        <w:jc w:val="both"/>
        <w:rPr>
          <w:rFonts w:ascii="Times New Roman" w:hAnsi="Times New Roman" w:cs="Times New Roman"/>
          <w:b/>
          <w:sz w:val="24"/>
          <w:u w:val="single"/>
        </w:rPr>
      </w:pPr>
    </w:p>
    <w:p w:rsidR="00A33DC1" w:rsidRDefault="00A33DC1" w:rsidP="00335388">
      <w:pPr>
        <w:pStyle w:val="Paragraphedeliste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</w:t>
      </w:r>
      <w:r w:rsidR="00325218">
        <w:rPr>
          <w:rFonts w:ascii="Times New Roman" w:hAnsi="Times New Roman" w:cs="Times New Roman"/>
          <w:sz w:val="24"/>
        </w:rPr>
        <w:t xml:space="preserve">a loi </w:t>
      </w:r>
      <w:proofErr w:type="spellStart"/>
      <w:r w:rsidR="00325218">
        <w:rPr>
          <w:rFonts w:ascii="Times New Roman" w:hAnsi="Times New Roman" w:cs="Times New Roman"/>
          <w:sz w:val="24"/>
        </w:rPr>
        <w:t>NOTRe</w:t>
      </w:r>
      <w:proofErr w:type="spellEnd"/>
      <w:r w:rsidR="00325218">
        <w:rPr>
          <w:rFonts w:ascii="Times New Roman" w:hAnsi="Times New Roman" w:cs="Times New Roman"/>
          <w:sz w:val="24"/>
        </w:rPr>
        <w:t xml:space="preserve"> et l</w:t>
      </w:r>
      <w:r>
        <w:rPr>
          <w:rFonts w:ascii="Times New Roman" w:hAnsi="Times New Roman" w:cs="Times New Roman"/>
          <w:sz w:val="24"/>
        </w:rPr>
        <w:t xml:space="preserve">e principe de </w:t>
      </w:r>
      <w:r w:rsidRPr="000023C5">
        <w:rPr>
          <w:rFonts w:ascii="Times New Roman" w:hAnsi="Times New Roman" w:cs="Times New Roman"/>
          <w:sz w:val="24"/>
          <w:u w:val="single"/>
        </w:rPr>
        <w:t>compétence</w:t>
      </w:r>
      <w:r w:rsidR="008F58F2">
        <w:rPr>
          <w:rFonts w:ascii="Times New Roman" w:hAnsi="Times New Roman" w:cs="Times New Roman"/>
          <w:sz w:val="24"/>
          <w:u w:val="single"/>
        </w:rPr>
        <w:t>s</w:t>
      </w:r>
      <w:r w:rsidRPr="000023C5">
        <w:rPr>
          <w:rFonts w:ascii="Times New Roman" w:hAnsi="Times New Roman" w:cs="Times New Roman"/>
          <w:sz w:val="24"/>
          <w:u w:val="single"/>
        </w:rPr>
        <w:t xml:space="preserve"> partagée</w:t>
      </w:r>
      <w:r w:rsidR="008F58F2">
        <w:rPr>
          <w:rFonts w:ascii="Times New Roman" w:hAnsi="Times New Roman" w:cs="Times New Roman"/>
          <w:sz w:val="24"/>
          <w:u w:val="single"/>
        </w:rPr>
        <w:t>s</w:t>
      </w:r>
      <w:r>
        <w:rPr>
          <w:rFonts w:ascii="Times New Roman" w:hAnsi="Times New Roman" w:cs="Times New Roman"/>
          <w:sz w:val="24"/>
        </w:rPr>
        <w:t xml:space="preserve"> </w:t>
      </w:r>
      <w:r w:rsidR="008F58F2">
        <w:rPr>
          <w:rFonts w:ascii="Times New Roman" w:hAnsi="Times New Roman" w:cs="Times New Roman"/>
          <w:sz w:val="24"/>
        </w:rPr>
        <w:t>avec l</w:t>
      </w:r>
      <w:r>
        <w:rPr>
          <w:rFonts w:ascii="Times New Roman" w:hAnsi="Times New Roman" w:cs="Times New Roman"/>
          <w:sz w:val="24"/>
        </w:rPr>
        <w:t>es collectivités territoriales</w:t>
      </w:r>
    </w:p>
    <w:p w:rsidR="00335388" w:rsidRDefault="00BB3F9A" w:rsidP="00335388">
      <w:pPr>
        <w:pStyle w:val="Paragraphedeliste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 w:rsidRPr="004C3294">
        <w:rPr>
          <w:rFonts w:ascii="Times New Roman" w:hAnsi="Times New Roman" w:cs="Times New Roman"/>
          <w:sz w:val="24"/>
        </w:rPr>
        <w:t xml:space="preserve">Nécessité d’une meilleure </w:t>
      </w:r>
      <w:r w:rsidR="000023C5">
        <w:rPr>
          <w:rFonts w:ascii="Times New Roman" w:hAnsi="Times New Roman" w:cs="Times New Roman"/>
          <w:sz w:val="24"/>
        </w:rPr>
        <w:t>articulation</w:t>
      </w:r>
      <w:r w:rsidRPr="004C3294">
        <w:rPr>
          <w:rFonts w:ascii="Times New Roman" w:hAnsi="Times New Roman" w:cs="Times New Roman"/>
          <w:sz w:val="24"/>
        </w:rPr>
        <w:t xml:space="preserve"> avec les </w:t>
      </w:r>
      <w:r w:rsidRPr="005A14EC">
        <w:rPr>
          <w:rFonts w:ascii="Times New Roman" w:hAnsi="Times New Roman" w:cs="Times New Roman"/>
          <w:sz w:val="24"/>
          <w:u w:val="single"/>
        </w:rPr>
        <w:t>collectivités</w:t>
      </w:r>
      <w:r w:rsidR="00E124DC" w:rsidRPr="005A14EC">
        <w:rPr>
          <w:rFonts w:ascii="Times New Roman" w:hAnsi="Times New Roman" w:cs="Times New Roman"/>
          <w:sz w:val="24"/>
          <w:u w:val="single"/>
        </w:rPr>
        <w:t>, principaux financeurs</w:t>
      </w:r>
      <w:r w:rsidR="00E124DC">
        <w:rPr>
          <w:rFonts w:ascii="Times New Roman" w:hAnsi="Times New Roman" w:cs="Times New Roman"/>
          <w:sz w:val="24"/>
        </w:rPr>
        <w:t xml:space="preserve"> de la culture</w:t>
      </w:r>
    </w:p>
    <w:p w:rsidR="00335388" w:rsidRPr="00335388" w:rsidRDefault="00335388" w:rsidP="00335388">
      <w:pPr>
        <w:pStyle w:val="Paragraphedeliste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Un </w:t>
      </w:r>
      <w:r w:rsidRPr="00335388">
        <w:rPr>
          <w:rFonts w:ascii="Times New Roman" w:hAnsi="Times New Roman" w:cs="Times New Roman"/>
          <w:sz w:val="24"/>
          <w:u w:val="single"/>
        </w:rPr>
        <w:t>manque d’information</w:t>
      </w:r>
      <w:r>
        <w:rPr>
          <w:rFonts w:ascii="Times New Roman" w:hAnsi="Times New Roman" w:cs="Times New Roman"/>
          <w:sz w:val="24"/>
        </w:rPr>
        <w:t xml:space="preserve"> sur les co-financements existants des projets, des compagnies et des lieux</w:t>
      </w:r>
    </w:p>
    <w:p w:rsidR="00BE5E3D" w:rsidRDefault="00BB3F9A" w:rsidP="00063456">
      <w:pPr>
        <w:pStyle w:val="Paragraphedeliste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 w:rsidRPr="004C3294">
        <w:rPr>
          <w:rFonts w:ascii="Times New Roman" w:hAnsi="Times New Roman" w:cs="Times New Roman"/>
          <w:sz w:val="24"/>
        </w:rPr>
        <w:t xml:space="preserve">Des </w:t>
      </w:r>
      <w:r w:rsidRPr="005A14EC">
        <w:rPr>
          <w:rFonts w:ascii="Times New Roman" w:hAnsi="Times New Roman" w:cs="Times New Roman"/>
          <w:sz w:val="24"/>
          <w:u w:val="single"/>
        </w:rPr>
        <w:t>conventions pluriannuelles d’objectifs</w:t>
      </w:r>
      <w:r w:rsidRPr="004C3294">
        <w:rPr>
          <w:rFonts w:ascii="Times New Roman" w:hAnsi="Times New Roman" w:cs="Times New Roman"/>
          <w:sz w:val="24"/>
        </w:rPr>
        <w:t> multipartites (CPO) </w:t>
      </w:r>
      <w:r w:rsidR="00325218">
        <w:rPr>
          <w:rFonts w:ascii="Times New Roman" w:hAnsi="Times New Roman" w:cs="Times New Roman"/>
          <w:sz w:val="24"/>
        </w:rPr>
        <w:t xml:space="preserve">des lieux et des équipes </w:t>
      </w:r>
      <w:r w:rsidRPr="004C3294">
        <w:rPr>
          <w:rFonts w:ascii="Times New Roman" w:hAnsi="Times New Roman" w:cs="Times New Roman"/>
          <w:sz w:val="24"/>
        </w:rPr>
        <w:t xml:space="preserve">encore trop peu signées par les collectivités, </w:t>
      </w:r>
      <w:r w:rsidR="00E124DC" w:rsidRPr="004C3294">
        <w:rPr>
          <w:rFonts w:ascii="Times New Roman" w:hAnsi="Times New Roman" w:cs="Times New Roman"/>
          <w:sz w:val="24"/>
        </w:rPr>
        <w:t>ne garantissant pas la poursuite d’objectifs communs</w:t>
      </w:r>
      <w:r w:rsidR="00E124DC">
        <w:rPr>
          <w:rFonts w:ascii="Times New Roman" w:hAnsi="Times New Roman" w:cs="Times New Roman"/>
          <w:sz w:val="24"/>
        </w:rPr>
        <w:t xml:space="preserve"> e</w:t>
      </w:r>
      <w:r w:rsidR="00E124DC" w:rsidRPr="00E124DC">
        <w:rPr>
          <w:rFonts w:ascii="Times New Roman" w:hAnsi="Times New Roman" w:cs="Times New Roman"/>
          <w:sz w:val="24"/>
        </w:rPr>
        <w:t xml:space="preserve">t </w:t>
      </w:r>
      <w:r w:rsidRPr="00E124DC">
        <w:rPr>
          <w:rFonts w:ascii="Times New Roman" w:hAnsi="Times New Roman" w:cs="Times New Roman"/>
          <w:sz w:val="24"/>
        </w:rPr>
        <w:t>fragilisant le fi</w:t>
      </w:r>
      <w:r w:rsidR="00E124DC">
        <w:rPr>
          <w:rFonts w:ascii="Times New Roman" w:hAnsi="Times New Roman" w:cs="Times New Roman"/>
          <w:sz w:val="24"/>
        </w:rPr>
        <w:t xml:space="preserve">nancement des établissements </w:t>
      </w:r>
    </w:p>
    <w:p w:rsidR="000C3521" w:rsidRDefault="008F58F2" w:rsidP="00063456">
      <w:pPr>
        <w:pStyle w:val="Paragraphedeliste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 multiplicité des</w:t>
      </w:r>
      <w:r w:rsidR="000C3521">
        <w:rPr>
          <w:rFonts w:ascii="Times New Roman" w:hAnsi="Times New Roman" w:cs="Times New Roman"/>
          <w:sz w:val="24"/>
        </w:rPr>
        <w:t xml:space="preserve"> </w:t>
      </w:r>
      <w:r w:rsidR="000C3521" w:rsidRPr="005A14EC">
        <w:rPr>
          <w:rFonts w:ascii="Times New Roman" w:hAnsi="Times New Roman" w:cs="Times New Roman"/>
          <w:sz w:val="24"/>
          <w:u w:val="single"/>
        </w:rPr>
        <w:t>commissions</w:t>
      </w:r>
      <w:r w:rsidR="000C3521">
        <w:rPr>
          <w:rFonts w:ascii="Times New Roman" w:hAnsi="Times New Roman" w:cs="Times New Roman"/>
          <w:sz w:val="24"/>
        </w:rPr>
        <w:t xml:space="preserve"> d’attribution des aides aux équipes</w:t>
      </w:r>
      <w:r w:rsidR="00325218">
        <w:rPr>
          <w:rFonts w:ascii="Times New Roman" w:hAnsi="Times New Roman" w:cs="Times New Roman"/>
          <w:sz w:val="24"/>
        </w:rPr>
        <w:t xml:space="preserve"> </w:t>
      </w:r>
      <w:r w:rsidR="00CA0AA9">
        <w:rPr>
          <w:rFonts w:ascii="Times New Roman" w:hAnsi="Times New Roman" w:cs="Times New Roman"/>
          <w:sz w:val="24"/>
        </w:rPr>
        <w:t>:</w:t>
      </w:r>
      <w:r w:rsidR="00325218">
        <w:rPr>
          <w:rFonts w:ascii="Times New Roman" w:hAnsi="Times New Roman" w:cs="Times New Roman"/>
          <w:sz w:val="24"/>
        </w:rPr>
        <w:t xml:space="preserve"> des charges administratives lourdes pour les équipes,</w:t>
      </w:r>
      <w:r w:rsidR="00CA0AA9">
        <w:rPr>
          <w:rFonts w:ascii="Times New Roman" w:hAnsi="Times New Roman" w:cs="Times New Roman"/>
          <w:sz w:val="24"/>
        </w:rPr>
        <w:t xml:space="preserve"> convergences et divergences </w:t>
      </w:r>
      <w:r w:rsidR="00325218">
        <w:rPr>
          <w:rFonts w:ascii="Times New Roman" w:hAnsi="Times New Roman" w:cs="Times New Roman"/>
          <w:sz w:val="24"/>
        </w:rPr>
        <w:t>sur les objectifs des politiques poursuivies</w:t>
      </w:r>
    </w:p>
    <w:p w:rsidR="000C3521" w:rsidRPr="000C3521" w:rsidRDefault="00325218" w:rsidP="000C3521">
      <w:pPr>
        <w:pStyle w:val="Paragraphedeliste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Le rôle</w:t>
      </w:r>
      <w:r w:rsidR="000C3521">
        <w:rPr>
          <w:rFonts w:ascii="Times New Roman" w:hAnsi="Times New Roman" w:cs="Times New Roman"/>
          <w:sz w:val="24"/>
        </w:rPr>
        <w:t xml:space="preserve"> des </w:t>
      </w:r>
      <w:r w:rsidR="000C3521" w:rsidRPr="005A14EC">
        <w:rPr>
          <w:rFonts w:ascii="Times New Roman" w:hAnsi="Times New Roman" w:cs="Times New Roman"/>
          <w:sz w:val="24"/>
          <w:u w:val="single"/>
        </w:rPr>
        <w:t>agences</w:t>
      </w:r>
      <w:r w:rsidR="000C3521">
        <w:rPr>
          <w:rFonts w:ascii="Times New Roman" w:hAnsi="Times New Roman" w:cs="Times New Roman"/>
          <w:sz w:val="24"/>
        </w:rPr>
        <w:t xml:space="preserve"> régionales et des agences départementales</w:t>
      </w:r>
    </w:p>
    <w:p w:rsidR="00325218" w:rsidRPr="00065A6D" w:rsidRDefault="00325218" w:rsidP="00E124DC">
      <w:pPr>
        <w:pStyle w:val="Paragraphedeliste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Le bilan du fonctionnement des </w:t>
      </w:r>
      <w:r w:rsidRPr="00065A6D">
        <w:rPr>
          <w:rFonts w:ascii="Times New Roman" w:hAnsi="Times New Roman" w:cs="Times New Roman"/>
          <w:sz w:val="24"/>
          <w:u w:val="single"/>
        </w:rPr>
        <w:t>EPCC</w:t>
      </w:r>
    </w:p>
    <w:p w:rsidR="00F705A0" w:rsidRDefault="00F705A0" w:rsidP="00E124DC">
      <w:pPr>
        <w:pStyle w:val="Paragraphedeliste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 </w:t>
      </w:r>
      <w:r w:rsidRPr="005A14EC">
        <w:rPr>
          <w:rFonts w:ascii="Times New Roman" w:hAnsi="Times New Roman" w:cs="Times New Roman"/>
          <w:sz w:val="24"/>
          <w:u w:val="single"/>
        </w:rPr>
        <w:t>nouvelles formes</w:t>
      </w:r>
      <w:r w:rsidRPr="00BA021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de </w:t>
      </w:r>
      <w:proofErr w:type="spellStart"/>
      <w:r>
        <w:rPr>
          <w:rFonts w:ascii="Times New Roman" w:hAnsi="Times New Roman" w:cs="Times New Roman"/>
          <w:sz w:val="24"/>
        </w:rPr>
        <w:t>co</w:t>
      </w:r>
      <w:proofErr w:type="spellEnd"/>
      <w:r>
        <w:rPr>
          <w:rFonts w:ascii="Times New Roman" w:hAnsi="Times New Roman" w:cs="Times New Roman"/>
          <w:sz w:val="24"/>
        </w:rPr>
        <w:t>-construction</w:t>
      </w:r>
      <w:r w:rsidR="00F962D1">
        <w:rPr>
          <w:rFonts w:ascii="Times New Roman" w:hAnsi="Times New Roman" w:cs="Times New Roman"/>
          <w:sz w:val="24"/>
        </w:rPr>
        <w:t xml:space="preserve"> </w:t>
      </w:r>
      <w:r w:rsidR="00325218">
        <w:rPr>
          <w:rFonts w:ascii="Times New Roman" w:hAnsi="Times New Roman" w:cs="Times New Roman"/>
          <w:sz w:val="24"/>
        </w:rPr>
        <w:t xml:space="preserve">des politiques culturelles </w:t>
      </w:r>
      <w:r>
        <w:rPr>
          <w:rFonts w:ascii="Times New Roman" w:hAnsi="Times New Roman" w:cs="Times New Roman"/>
          <w:sz w:val="24"/>
        </w:rPr>
        <w:t>: les SOLIMA,</w:t>
      </w:r>
      <w:r w:rsidR="00325218">
        <w:rPr>
          <w:rFonts w:ascii="Times New Roman" w:hAnsi="Times New Roman" w:cs="Times New Roman"/>
          <w:sz w:val="24"/>
        </w:rPr>
        <w:t xml:space="preserve"> les SODAVI,</w:t>
      </w:r>
      <w:r>
        <w:rPr>
          <w:rFonts w:ascii="Times New Roman" w:hAnsi="Times New Roman" w:cs="Times New Roman"/>
          <w:sz w:val="24"/>
        </w:rPr>
        <w:t xml:space="preserve"> les contrats de filière</w:t>
      </w:r>
    </w:p>
    <w:p w:rsidR="007F7969" w:rsidRPr="0047411C" w:rsidRDefault="00F962D1" w:rsidP="0047411C">
      <w:pPr>
        <w:pStyle w:val="Paragraphedeliste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L’intégration des </w:t>
      </w:r>
      <w:r w:rsidRPr="005A14EC">
        <w:rPr>
          <w:rFonts w:ascii="Times New Roman" w:hAnsi="Times New Roman" w:cs="Times New Roman"/>
          <w:sz w:val="24"/>
          <w:u w:val="single"/>
        </w:rPr>
        <w:t>droits culturels</w:t>
      </w:r>
      <w:r>
        <w:rPr>
          <w:rFonts w:ascii="Times New Roman" w:hAnsi="Times New Roman" w:cs="Times New Roman"/>
          <w:sz w:val="24"/>
        </w:rPr>
        <w:t xml:space="preserve"> dans la loi </w:t>
      </w:r>
      <w:proofErr w:type="spellStart"/>
      <w:r>
        <w:rPr>
          <w:rFonts w:ascii="Times New Roman" w:hAnsi="Times New Roman" w:cs="Times New Roman"/>
          <w:sz w:val="24"/>
        </w:rPr>
        <w:t>NOTRe</w:t>
      </w:r>
      <w:proofErr w:type="spellEnd"/>
      <w:r>
        <w:rPr>
          <w:rFonts w:ascii="Times New Roman" w:hAnsi="Times New Roman" w:cs="Times New Roman"/>
          <w:sz w:val="24"/>
        </w:rPr>
        <w:t xml:space="preserve"> et la loi LCAP : des conséquences pour le positionnement de l’Etat en tant qu’accompagnateur et non plus prescripteur, la valorisation de la </w:t>
      </w:r>
      <w:proofErr w:type="spellStart"/>
      <w:r>
        <w:rPr>
          <w:rFonts w:ascii="Times New Roman" w:hAnsi="Times New Roman" w:cs="Times New Roman"/>
          <w:sz w:val="24"/>
        </w:rPr>
        <w:t>co</w:t>
      </w:r>
      <w:proofErr w:type="spellEnd"/>
      <w:r>
        <w:rPr>
          <w:rFonts w:ascii="Times New Roman" w:hAnsi="Times New Roman" w:cs="Times New Roman"/>
          <w:sz w:val="24"/>
        </w:rPr>
        <w:t xml:space="preserve">-construction comme méthodes de travail entre les différents partenaires, </w:t>
      </w:r>
      <w:r w:rsidR="007B6954">
        <w:rPr>
          <w:rFonts w:ascii="Times New Roman" w:hAnsi="Times New Roman" w:cs="Times New Roman"/>
          <w:sz w:val="24"/>
        </w:rPr>
        <w:t>la place des citoyens et des habitants au cœur de la définition des missions des lieux culturels</w:t>
      </w:r>
      <w:r w:rsidR="00065A6D">
        <w:rPr>
          <w:rFonts w:ascii="Times New Roman" w:hAnsi="Times New Roman" w:cs="Times New Roman"/>
          <w:sz w:val="24"/>
        </w:rPr>
        <w:t xml:space="preserve"> (</w:t>
      </w:r>
      <w:proofErr w:type="spellStart"/>
      <w:r w:rsidR="00065A6D">
        <w:rPr>
          <w:rFonts w:ascii="Times New Roman" w:hAnsi="Times New Roman" w:cs="Times New Roman"/>
          <w:sz w:val="24"/>
        </w:rPr>
        <w:t>yc</w:t>
      </w:r>
      <w:proofErr w:type="spellEnd"/>
      <w:r w:rsidR="00065A6D">
        <w:rPr>
          <w:rFonts w:ascii="Times New Roman" w:hAnsi="Times New Roman" w:cs="Times New Roman"/>
          <w:sz w:val="24"/>
        </w:rPr>
        <w:t xml:space="preserve"> la prise en compte des pratiques amateurs)</w:t>
      </w:r>
    </w:p>
    <w:sectPr w:rsidR="007F7969" w:rsidRPr="004741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C90" w:rsidRDefault="00D73C90" w:rsidP="00B55975">
      <w:pPr>
        <w:spacing w:after="0" w:line="240" w:lineRule="auto"/>
      </w:pPr>
      <w:r>
        <w:separator/>
      </w:r>
    </w:p>
  </w:endnote>
  <w:endnote w:type="continuationSeparator" w:id="0">
    <w:p w:rsidR="00D73C90" w:rsidRDefault="00D73C90" w:rsidP="00B55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8A3" w:rsidRDefault="004E38A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6042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B55975" w:rsidRDefault="00B55975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3AF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3AF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55975" w:rsidRDefault="00B5597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8A3" w:rsidRDefault="004E38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C90" w:rsidRDefault="00D73C90" w:rsidP="00B55975">
      <w:pPr>
        <w:spacing w:after="0" w:line="240" w:lineRule="auto"/>
      </w:pPr>
      <w:r>
        <w:separator/>
      </w:r>
    </w:p>
  </w:footnote>
  <w:footnote w:type="continuationSeparator" w:id="0">
    <w:p w:rsidR="00D73C90" w:rsidRDefault="00D73C90" w:rsidP="00B55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8A3" w:rsidRDefault="00D73C90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2571302" o:spid="_x0000_s2050" type="#_x0000_t136" style="position:absolute;margin-left:0;margin-top:0;width:548.1pt;height:91.3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 DE TRAVAI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8A3" w:rsidRDefault="00D73C90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2571303" o:spid="_x0000_s2051" type="#_x0000_t136" style="position:absolute;margin-left:0;margin-top:0;width:548.1pt;height:91.3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 DE TRAVAI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8A3" w:rsidRDefault="00D73C90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2571301" o:spid="_x0000_s2049" type="#_x0000_t136" style="position:absolute;margin-left:0;margin-top:0;width:548.1pt;height:91.3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 DE TRAVAI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3F90"/>
    <w:multiLevelType w:val="hybridMultilevel"/>
    <w:tmpl w:val="2E0E5B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E2C9E"/>
    <w:multiLevelType w:val="hybridMultilevel"/>
    <w:tmpl w:val="F89625A6"/>
    <w:lvl w:ilvl="0" w:tplc="4576241E">
      <w:start w:val="20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7F7DC8"/>
    <w:multiLevelType w:val="hybridMultilevel"/>
    <w:tmpl w:val="78364B6C"/>
    <w:lvl w:ilvl="0" w:tplc="64F228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41C54"/>
    <w:multiLevelType w:val="hybridMultilevel"/>
    <w:tmpl w:val="E59C27E0"/>
    <w:lvl w:ilvl="0" w:tplc="A154A59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56A82"/>
    <w:multiLevelType w:val="hybridMultilevel"/>
    <w:tmpl w:val="9EF83018"/>
    <w:lvl w:ilvl="0" w:tplc="64F228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43E8B"/>
    <w:multiLevelType w:val="hybridMultilevel"/>
    <w:tmpl w:val="4038F410"/>
    <w:lvl w:ilvl="0" w:tplc="BA025D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B2D34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AE8CC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864E8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2ABD3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12C62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CBEF61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8CC3A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D834E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F9249E7"/>
    <w:multiLevelType w:val="hybridMultilevel"/>
    <w:tmpl w:val="A97ECC1E"/>
    <w:lvl w:ilvl="0" w:tplc="64F228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427AB"/>
    <w:multiLevelType w:val="hybridMultilevel"/>
    <w:tmpl w:val="928A3068"/>
    <w:lvl w:ilvl="0" w:tplc="65EA4410">
      <w:numFmt w:val="bullet"/>
      <w:lvlText w:val=""/>
      <w:lvlJc w:val="left"/>
      <w:pPr>
        <w:ind w:left="36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204150"/>
    <w:multiLevelType w:val="hybridMultilevel"/>
    <w:tmpl w:val="A106FBE0"/>
    <w:lvl w:ilvl="0" w:tplc="A154A59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D50615"/>
    <w:multiLevelType w:val="hybridMultilevel"/>
    <w:tmpl w:val="FF0643EC"/>
    <w:lvl w:ilvl="0" w:tplc="32F67A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D2696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363FB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3B2DDE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1E006B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8C73C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5F8EF0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44C08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BE4D0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30527C34"/>
    <w:multiLevelType w:val="hybridMultilevel"/>
    <w:tmpl w:val="F6A25DA2"/>
    <w:lvl w:ilvl="0" w:tplc="64F228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E0B3E"/>
    <w:multiLevelType w:val="hybridMultilevel"/>
    <w:tmpl w:val="D46A5EA0"/>
    <w:lvl w:ilvl="0" w:tplc="64F228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0D7EC6"/>
    <w:multiLevelType w:val="hybridMultilevel"/>
    <w:tmpl w:val="6C44DEF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ED5E83"/>
    <w:multiLevelType w:val="hybridMultilevel"/>
    <w:tmpl w:val="18667F12"/>
    <w:lvl w:ilvl="0" w:tplc="45A0A2C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06960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04F7D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A84D5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484AD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701FD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FA6A6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76059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2E61D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EB2F71"/>
    <w:multiLevelType w:val="hybridMultilevel"/>
    <w:tmpl w:val="4C8AD614"/>
    <w:lvl w:ilvl="0" w:tplc="464C4AE2">
      <w:start w:val="20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ABC75C3"/>
    <w:multiLevelType w:val="hybridMultilevel"/>
    <w:tmpl w:val="0EC299FE"/>
    <w:lvl w:ilvl="0" w:tplc="64F228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CF0087"/>
    <w:multiLevelType w:val="hybridMultilevel"/>
    <w:tmpl w:val="3EACC940"/>
    <w:lvl w:ilvl="0" w:tplc="A154A59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5"/>
  </w:num>
  <w:num w:numId="4">
    <w:abstractNumId w:val="10"/>
  </w:num>
  <w:num w:numId="5">
    <w:abstractNumId w:val="1"/>
  </w:num>
  <w:num w:numId="6">
    <w:abstractNumId w:val="0"/>
  </w:num>
  <w:num w:numId="7">
    <w:abstractNumId w:val="11"/>
  </w:num>
  <w:num w:numId="8">
    <w:abstractNumId w:val="7"/>
  </w:num>
  <w:num w:numId="9">
    <w:abstractNumId w:val="12"/>
  </w:num>
  <w:num w:numId="10">
    <w:abstractNumId w:val="8"/>
  </w:num>
  <w:num w:numId="11">
    <w:abstractNumId w:val="6"/>
  </w:num>
  <w:num w:numId="12">
    <w:abstractNumId w:val="4"/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6"/>
  </w:num>
  <w:num w:numId="16">
    <w:abstractNumId w:val="5"/>
  </w:num>
  <w:num w:numId="17">
    <w:abstractNumId w:val="9"/>
  </w:num>
  <w:num w:numId="18">
    <w:abstractNumId w:val="13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86E"/>
    <w:rsid w:val="000023C5"/>
    <w:rsid w:val="00031084"/>
    <w:rsid w:val="00040DEC"/>
    <w:rsid w:val="0005024A"/>
    <w:rsid w:val="00063456"/>
    <w:rsid w:val="00065A6D"/>
    <w:rsid w:val="000959D5"/>
    <w:rsid w:val="000A20A2"/>
    <w:rsid w:val="000C3521"/>
    <w:rsid w:val="00107CD7"/>
    <w:rsid w:val="00117944"/>
    <w:rsid w:val="001209EC"/>
    <w:rsid w:val="00121B04"/>
    <w:rsid w:val="0012224E"/>
    <w:rsid w:val="00144EBD"/>
    <w:rsid w:val="0015255E"/>
    <w:rsid w:val="001743B2"/>
    <w:rsid w:val="001A0927"/>
    <w:rsid w:val="001A223C"/>
    <w:rsid w:val="001D7A17"/>
    <w:rsid w:val="00206302"/>
    <w:rsid w:val="00207BB7"/>
    <w:rsid w:val="00213AF2"/>
    <w:rsid w:val="002172AA"/>
    <w:rsid w:val="00247A6C"/>
    <w:rsid w:val="00262D6C"/>
    <w:rsid w:val="00273404"/>
    <w:rsid w:val="00292D0B"/>
    <w:rsid w:val="002B440D"/>
    <w:rsid w:val="002D6B1B"/>
    <w:rsid w:val="00302E4C"/>
    <w:rsid w:val="003034FE"/>
    <w:rsid w:val="00303938"/>
    <w:rsid w:val="00325218"/>
    <w:rsid w:val="00331A1F"/>
    <w:rsid w:val="00335388"/>
    <w:rsid w:val="00336E93"/>
    <w:rsid w:val="00350DE6"/>
    <w:rsid w:val="003968E0"/>
    <w:rsid w:val="003B4388"/>
    <w:rsid w:val="003C445F"/>
    <w:rsid w:val="004228DF"/>
    <w:rsid w:val="00467865"/>
    <w:rsid w:val="00471E65"/>
    <w:rsid w:val="0047411C"/>
    <w:rsid w:val="0048153C"/>
    <w:rsid w:val="00497675"/>
    <w:rsid w:val="004A3EE1"/>
    <w:rsid w:val="004A535D"/>
    <w:rsid w:val="004C22F3"/>
    <w:rsid w:val="004C3294"/>
    <w:rsid w:val="004D5FEA"/>
    <w:rsid w:val="004D6884"/>
    <w:rsid w:val="004D6DAD"/>
    <w:rsid w:val="004E2168"/>
    <w:rsid w:val="004E38A3"/>
    <w:rsid w:val="004E534A"/>
    <w:rsid w:val="004E5A6C"/>
    <w:rsid w:val="004E6784"/>
    <w:rsid w:val="004F6460"/>
    <w:rsid w:val="00500066"/>
    <w:rsid w:val="005115F8"/>
    <w:rsid w:val="00516673"/>
    <w:rsid w:val="00537B24"/>
    <w:rsid w:val="00544315"/>
    <w:rsid w:val="005A11FD"/>
    <w:rsid w:val="005A14EC"/>
    <w:rsid w:val="006403BE"/>
    <w:rsid w:val="006500A4"/>
    <w:rsid w:val="0065752A"/>
    <w:rsid w:val="0069279E"/>
    <w:rsid w:val="006C2B3E"/>
    <w:rsid w:val="007036D9"/>
    <w:rsid w:val="0071047E"/>
    <w:rsid w:val="00710497"/>
    <w:rsid w:val="00712845"/>
    <w:rsid w:val="0072043F"/>
    <w:rsid w:val="00757CE7"/>
    <w:rsid w:val="0076424F"/>
    <w:rsid w:val="0077593D"/>
    <w:rsid w:val="00795F9A"/>
    <w:rsid w:val="007A3B11"/>
    <w:rsid w:val="007B6954"/>
    <w:rsid w:val="007C7CE8"/>
    <w:rsid w:val="007F7446"/>
    <w:rsid w:val="008250A9"/>
    <w:rsid w:val="00854006"/>
    <w:rsid w:val="008809DF"/>
    <w:rsid w:val="008A1531"/>
    <w:rsid w:val="008C66C6"/>
    <w:rsid w:val="008D5894"/>
    <w:rsid w:val="008E0974"/>
    <w:rsid w:val="008F58F2"/>
    <w:rsid w:val="00906A90"/>
    <w:rsid w:val="00907CF4"/>
    <w:rsid w:val="0093387E"/>
    <w:rsid w:val="00937269"/>
    <w:rsid w:val="00972C48"/>
    <w:rsid w:val="00975CEF"/>
    <w:rsid w:val="00977856"/>
    <w:rsid w:val="00992C15"/>
    <w:rsid w:val="009A3429"/>
    <w:rsid w:val="009C1521"/>
    <w:rsid w:val="009D3B89"/>
    <w:rsid w:val="00A06966"/>
    <w:rsid w:val="00A17217"/>
    <w:rsid w:val="00A33DC1"/>
    <w:rsid w:val="00A3595B"/>
    <w:rsid w:val="00A650E4"/>
    <w:rsid w:val="00AA5931"/>
    <w:rsid w:val="00AB3EC8"/>
    <w:rsid w:val="00AB549F"/>
    <w:rsid w:val="00AF4C0C"/>
    <w:rsid w:val="00B057F3"/>
    <w:rsid w:val="00B1243B"/>
    <w:rsid w:val="00B17651"/>
    <w:rsid w:val="00B274B0"/>
    <w:rsid w:val="00B3390F"/>
    <w:rsid w:val="00B55975"/>
    <w:rsid w:val="00B562EE"/>
    <w:rsid w:val="00B663F2"/>
    <w:rsid w:val="00B82C28"/>
    <w:rsid w:val="00B83584"/>
    <w:rsid w:val="00B92549"/>
    <w:rsid w:val="00B928F3"/>
    <w:rsid w:val="00BA0213"/>
    <w:rsid w:val="00BB3F9A"/>
    <w:rsid w:val="00BE0DB8"/>
    <w:rsid w:val="00BE5E3D"/>
    <w:rsid w:val="00C57F33"/>
    <w:rsid w:val="00C6542B"/>
    <w:rsid w:val="00CA0AA9"/>
    <w:rsid w:val="00CB04EF"/>
    <w:rsid w:val="00CE6718"/>
    <w:rsid w:val="00D1712E"/>
    <w:rsid w:val="00D206AD"/>
    <w:rsid w:val="00D21EF9"/>
    <w:rsid w:val="00D52426"/>
    <w:rsid w:val="00D6286E"/>
    <w:rsid w:val="00D73C90"/>
    <w:rsid w:val="00D84279"/>
    <w:rsid w:val="00D917A0"/>
    <w:rsid w:val="00DC4BF9"/>
    <w:rsid w:val="00DD1D61"/>
    <w:rsid w:val="00DE7C72"/>
    <w:rsid w:val="00E124DC"/>
    <w:rsid w:val="00E22BEE"/>
    <w:rsid w:val="00E23FD5"/>
    <w:rsid w:val="00E318D3"/>
    <w:rsid w:val="00E47D6F"/>
    <w:rsid w:val="00E868D1"/>
    <w:rsid w:val="00EA5BD2"/>
    <w:rsid w:val="00ED786E"/>
    <w:rsid w:val="00EE0A08"/>
    <w:rsid w:val="00EE4CC6"/>
    <w:rsid w:val="00EE4DBD"/>
    <w:rsid w:val="00EF780B"/>
    <w:rsid w:val="00F0164E"/>
    <w:rsid w:val="00F121A7"/>
    <w:rsid w:val="00F13CDE"/>
    <w:rsid w:val="00F17FD8"/>
    <w:rsid w:val="00F705A0"/>
    <w:rsid w:val="00F71635"/>
    <w:rsid w:val="00F962D1"/>
    <w:rsid w:val="00FC19B9"/>
    <w:rsid w:val="00FC26E6"/>
    <w:rsid w:val="00FD1118"/>
    <w:rsid w:val="00FF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59307AB"/>
  <w15:chartTrackingRefBased/>
  <w15:docId w15:val="{092AF263-1428-4C52-99F2-813F80B5B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786E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D786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E6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CE6718"/>
    <w:rPr>
      <w:b/>
      <w:bCs/>
    </w:rPr>
  </w:style>
  <w:style w:type="character" w:styleId="Lienhypertexte">
    <w:name w:val="Hyperlink"/>
    <w:basedOn w:val="Policepardfaut"/>
    <w:uiPriority w:val="99"/>
    <w:unhideWhenUsed/>
    <w:rsid w:val="00CE6718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B559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55975"/>
  </w:style>
  <w:style w:type="paragraph" w:styleId="Pieddepage">
    <w:name w:val="footer"/>
    <w:basedOn w:val="Normal"/>
    <w:link w:val="PieddepageCar"/>
    <w:uiPriority w:val="99"/>
    <w:unhideWhenUsed/>
    <w:rsid w:val="00B559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55975"/>
  </w:style>
  <w:style w:type="paragraph" w:styleId="Textedebulles">
    <w:name w:val="Balloon Text"/>
    <w:basedOn w:val="Normal"/>
    <w:link w:val="TextedebullesCar"/>
    <w:uiPriority w:val="99"/>
    <w:semiHidden/>
    <w:unhideWhenUsed/>
    <w:rsid w:val="00EE4C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4C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399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71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62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71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444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89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442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2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532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92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A62FA-4A37-4FEB-8053-887BB4ED5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408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marie.ameller</dc:creator>
  <cp:keywords/>
  <dc:description/>
  <cp:lastModifiedBy>marie.ameller</cp:lastModifiedBy>
  <cp:revision>6</cp:revision>
  <cp:lastPrinted>2018-01-29T14:34:00Z</cp:lastPrinted>
  <dcterms:created xsi:type="dcterms:W3CDTF">2018-01-29T09:33:00Z</dcterms:created>
  <dcterms:modified xsi:type="dcterms:W3CDTF">2018-01-29T19:04:00Z</dcterms:modified>
</cp:coreProperties>
</file>